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670" w:type="dxa"/>
        <w:tblInd w:w="70" w:type="dxa"/>
        <w:tblCellMar>
          <w:left w:w="70" w:type="dxa"/>
          <w:right w:w="70" w:type="dxa"/>
        </w:tblCellMar>
        <w:tblLook w:val="0000" w:firstRow="0" w:lastRow="0" w:firstColumn="0" w:lastColumn="0" w:noHBand="0" w:noVBand="0"/>
      </w:tblPr>
      <w:tblGrid>
        <w:gridCol w:w="881"/>
        <w:gridCol w:w="4347"/>
        <w:gridCol w:w="2442"/>
      </w:tblGrid>
      <w:tr w:rsidR="00D21C98" w:rsidTr="000C5183">
        <w:trPr>
          <w:trHeight w:val="84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bookmarkStart w:id="0" w:name="_GoBack"/>
            <w:bookmarkEnd w:id="0"/>
            <w:r>
              <w:rPr>
                <w:rFonts w:ascii="Arial" w:hAnsi="Arial" w:cs="Arial"/>
                <w:b/>
                <w:bCs/>
                <w:color w:val="993300"/>
                <w:sz w:val="16"/>
                <w:szCs w:val="16"/>
              </w:rPr>
              <w:t>Cod. rischio</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993300"/>
                <w:sz w:val="16"/>
                <w:szCs w:val="16"/>
              </w:rPr>
            </w:pPr>
            <w:r>
              <w:rPr>
                <w:rFonts w:ascii="Arial" w:hAnsi="Arial" w:cs="Arial"/>
                <w:color w:val="993300"/>
                <w:sz w:val="16"/>
                <w:szCs w:val="16"/>
              </w:rPr>
              <w:t xml:space="preserve">Rischio eventuale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Tahoma" w:hAnsi="Tahoma" w:cs="Tahoma"/>
                <w:b/>
                <w:bCs/>
                <w:color w:val="993300"/>
                <w:sz w:val="16"/>
                <w:szCs w:val="16"/>
              </w:rPr>
            </w:pPr>
            <w:r>
              <w:rPr>
                <w:rFonts w:ascii="Tahoma" w:hAnsi="Tahoma" w:cs="Tahoma"/>
                <w:b/>
                <w:bCs/>
                <w:color w:val="993300"/>
                <w:sz w:val="16"/>
                <w:szCs w:val="16"/>
              </w:rPr>
              <w:t xml:space="preserve">Aree di Rischio </w:t>
            </w:r>
          </w:p>
        </w:tc>
      </w:tr>
      <w:tr w:rsidR="00D21C98" w:rsidTr="000C5183">
        <w:trPr>
          <w:cantSplit/>
          <w:trHeight w:val="5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R.001</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Favorire un soggetto /Favorire uno specifico soggetto esterno o rinnovare precedente incarico senza valutazioni/favorire domanda inesatta o incompleta</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021"/>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66"/>
                <w:sz w:val="16"/>
                <w:szCs w:val="16"/>
              </w:rPr>
            </w:pPr>
            <w:r>
              <w:rPr>
                <w:rFonts w:ascii="Arial" w:hAnsi="Arial" w:cs="Arial"/>
                <w:b/>
                <w:bCs/>
                <w:color w:val="993366"/>
                <w:sz w:val="16"/>
                <w:szCs w:val="16"/>
              </w:rPr>
              <w:t>Amministrazione del personale</w:t>
            </w:r>
          </w:p>
        </w:tc>
      </w:tr>
      <w:tr w:rsidR="00D21C98" w:rsidTr="000C5183">
        <w:trPr>
          <w:trHeight w:val="130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Accettazione consapevole del ricorso al subappalto per difetto, in capo all’impresa partecipante alla gara dei requisiti di partecipazione. </w:t>
            </w:r>
            <w:r>
              <w:rPr>
                <w:rFonts w:ascii="Arial" w:hAnsi="Arial" w:cs="Arial"/>
                <w:color w:val="333399"/>
                <w:sz w:val="16"/>
                <w:szCs w:val="16"/>
              </w:rPr>
              <w:br/>
              <w:t>Mancata o insufficiente verifica dei requisiti di partecipazione in capo al subappaltatore.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R.003</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Accettazione di pagamenti diversi dal contante non previsti (ad es assegno o carte di credito/debito) o con applicazione di commissioni </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00FF"/>
                <w:sz w:val="16"/>
                <w:szCs w:val="16"/>
              </w:rPr>
            </w:pPr>
            <w:r>
              <w:rPr>
                <w:rFonts w:ascii="Arial" w:hAnsi="Arial" w:cs="Arial"/>
                <w:b/>
                <w:bCs/>
                <w:color w:val="0000FF"/>
                <w:sz w:val="16"/>
                <w:szCs w:val="16"/>
              </w:rPr>
              <w:t>Servizi al pubblico</w:t>
            </w:r>
          </w:p>
        </w:tc>
      </w:tr>
      <w:tr w:rsidR="00D21C98" w:rsidTr="000C5183">
        <w:trPr>
          <w:cantSplit/>
          <w:trHeight w:val="1052"/>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00FF"/>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R.004</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Mancata coerenza con le attività istituzionali: Affidamento attività non istituzionali /Attività non coerente con le finalità istituzionali /Conclusione di accordi in materie non di interesse istituzionale e/o senza valutazione da parte dell'organo di indirizzo politico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R.005</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Alterazione firme </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Manipolazione dei dati </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Manipolazione dei dati a favore del committente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Alterazione/Assegnazione discrezionale della data e dell'ora di ricezione della documentazione - manipolazione per accettazione di domande fuori termine </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66"/>
                <w:sz w:val="16"/>
                <w:szCs w:val="16"/>
              </w:rPr>
            </w:pPr>
            <w:r>
              <w:rPr>
                <w:rFonts w:ascii="Arial" w:hAnsi="Arial" w:cs="Arial"/>
                <w:b/>
                <w:bCs/>
                <w:color w:val="993366"/>
                <w:sz w:val="16"/>
                <w:szCs w:val="16"/>
              </w:rPr>
              <w:t>Amministrazione del personale</w:t>
            </w:r>
          </w:p>
        </w:tc>
      </w:tr>
      <w:tr w:rsidR="00D21C98" w:rsidTr="000C5183">
        <w:trPr>
          <w:cantSplit/>
          <w:trHeight w:val="1036"/>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left w:val="single" w:sz="4" w:space="0" w:color="auto"/>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66"/>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Alterazione dell'Ordine di lavorazione e dei tempi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Alterazione dei libri ufficiali e dei registri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31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Alterazione del risultato per migliorare i benefici del richiedente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00FF"/>
                <w:sz w:val="16"/>
                <w:szCs w:val="16"/>
              </w:rPr>
            </w:pPr>
            <w:r>
              <w:rPr>
                <w:rFonts w:ascii="Arial" w:hAnsi="Arial" w:cs="Arial"/>
                <w:b/>
                <w:bCs/>
                <w:color w:val="0000FF"/>
                <w:sz w:val="16"/>
                <w:szCs w:val="16"/>
              </w:rPr>
              <w:t>Servizi al pubblico</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Alterazione  valutazione auto per "agevolare" l'acquirente del CPD</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00FF"/>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lastRenderedPageBreak/>
              <w:t>R.006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Eccessiva discrezionalità</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Discrezionalità </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Definizione discrezionale del contenuto dell'accordo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13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Alto tasso di discrezionalità nella definizione di criteri e relativi pesi che favoriscano o agevolino l’offerta di determinati concorrenti. Insufficiente descrizione dell’insieme dei criteri di selezione ed assegnazione punteggi. Ricorso per uso distorto dell'offerta più vantaggiosa (per maggiore discrezionalità nell'attribuzione dei punteggi)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123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Alto tasso di discrezionalità nella valutazione delle offerte più vantaggiose. Irregolare composizione della Commissione. Nomina pilotata dei componenti della Commissione di valutazione delle offerte Assenza di rotazione nel conferimento di incarichi di presidente e componente della commissione.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11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Alto tasso di discrezionalità e/o uso distorto dello strumento di valutazione della congruità delle offerte finalizzato ad avvantaggiare una società o escludere un concorrente a vantaggio di  altri.  Emersione di vizi nella ricostruzione dell’iter logico-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Limitata discrezionalità nella scelta delle offerte più vantaggiose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Assegnazione obiettivi iniqua</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R.008</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Assenza di rotazione nel conferimento degli incarichi di presidente e componenti della commissione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R.009</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Attribuzione del contributo a soggetto non legittimato, favorendo o agevolando un determinato destinatario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000080"/>
                <w:sz w:val="16"/>
                <w:szCs w:val="16"/>
              </w:rPr>
            </w:pPr>
            <w:r>
              <w:rPr>
                <w:rFonts w:ascii="Arial" w:hAnsi="Arial" w:cs="Arial"/>
                <w:color w:val="000080"/>
                <w:sz w:val="16"/>
                <w:szCs w:val="16"/>
              </w:rPr>
              <w:t xml:space="preserve">Autorizzazione incarichi non conforme ai requisiti prescritti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R.011</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Chiamate non effettuate per motivi di servizio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tra atto autorizzativo e impegno di spesa</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tra dati del contratto/ordine d'acquisto e provvedimento autorizzativo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dati fattura e atti autorizzativi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tra OdV e prestazione effettuata</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tra dati contabili e valori dichiarati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Difformità di trattamento tra Delegazioni. Il rischio di elide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di trattamento autorizzando la spesa nonostante l'incompletezza dei giustificativi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difformità di trattamento tra i debitori/creditori dell'Ente da parte del funzionario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Disparità di trattamento nell'utilizzo di STA o modalità tradizionale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00FF"/>
                <w:sz w:val="16"/>
                <w:szCs w:val="16"/>
              </w:rPr>
            </w:pPr>
            <w:r>
              <w:rPr>
                <w:rFonts w:ascii="Arial" w:hAnsi="Arial" w:cs="Arial"/>
                <w:b/>
                <w:bCs/>
                <w:color w:val="0000FF"/>
                <w:sz w:val="16"/>
                <w:szCs w:val="16"/>
              </w:rPr>
              <w:t>Servizio al pubblico</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Diffusione di informazioni relative al bando prima della pubblicazione - </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Fuga di informazioni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Diffusione di informazioni relative al bando prima della pubblicazione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Fuga di informazioni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90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lastRenderedPageBreak/>
              <w:t>R.015</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Distorsione delle fattispecie per pilotare verso un unico fornitore l’appalto o manipolazione dell’oggetto del contratto o elusione fraudolenta dell’estrema urgenza  per ricorrere all’affidamento a favore di un determinato concorrente.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R.016</w:t>
            </w:r>
          </w:p>
        </w:tc>
        <w:tc>
          <w:tcPr>
            <w:tcW w:w="4347" w:type="dxa"/>
            <w:vMerge w:val="restart"/>
            <w:tcBorders>
              <w:top w:val="nil"/>
              <w:left w:val="single" w:sz="4" w:space="0" w:color="auto"/>
              <w:bottom w:val="single" w:sz="4" w:space="0" w:color="000000"/>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distrazione di denaro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Elusione del reclamo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33CCCC"/>
                <w:sz w:val="16"/>
                <w:szCs w:val="16"/>
              </w:rPr>
            </w:pPr>
            <w:r>
              <w:rPr>
                <w:rFonts w:ascii="Arial" w:hAnsi="Arial" w:cs="Arial"/>
                <w:b/>
                <w:bCs/>
                <w:color w:val="33CCCC"/>
                <w:sz w:val="16"/>
                <w:szCs w:val="16"/>
              </w:rPr>
              <w:t>Trasparenza Qualità e Comunicazione</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R.018</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Elusione delle procedure di evidenza pubblica</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00FF"/>
                <w:sz w:val="16"/>
                <w:szCs w:val="16"/>
              </w:rPr>
            </w:pPr>
            <w:r>
              <w:rPr>
                <w:rFonts w:ascii="Arial" w:hAnsi="Arial" w:cs="Arial"/>
                <w:b/>
                <w:bCs/>
                <w:color w:val="0000FF"/>
                <w:sz w:val="16"/>
                <w:szCs w:val="16"/>
              </w:rPr>
              <w:t>Servizio al pubblico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00FF"/>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R.019</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Errore conteggio - errore materiale nel conteggio degli importi</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Errore conteggio - errori nella liquidazione delle imposte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errore nella predisposizione delle dichiarazioni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errori nella compilazione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Iniquità-Erogazione  quota incentivante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 errata attribuzione incasso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flusso bancario RID non conforme ai crediti da riscuotere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Documentazione non Visibile (Privacy)</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R.025</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Formulazione di criteri di valutazione non adeguatamente e chiaramente definiti  -  discrezionalità nella definizione dei criteri di valutazione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Gestione inadeguata del reclamo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33CCCC"/>
                <w:sz w:val="16"/>
                <w:szCs w:val="16"/>
              </w:rPr>
            </w:pPr>
            <w:r>
              <w:rPr>
                <w:rFonts w:ascii="Arial" w:hAnsi="Arial" w:cs="Arial"/>
                <w:b/>
                <w:bCs/>
                <w:color w:val="33CCCC"/>
                <w:sz w:val="16"/>
                <w:szCs w:val="16"/>
              </w:rPr>
              <w:t>Trasparenza Qualità e Comunicazione</w:t>
            </w:r>
          </w:p>
        </w:tc>
      </w:tr>
      <w:tr w:rsidR="00D21C98" w:rsidTr="000C5183">
        <w:trPr>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Impiego del mezzo non per fini di ufficio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trHeight w:val="67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R.028</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Improprio ricorso alla consulenza esterna</w:t>
            </w:r>
            <w:r>
              <w:rPr>
                <w:rFonts w:ascii="Arial" w:hAnsi="Arial" w:cs="Arial"/>
                <w:color w:val="333399"/>
                <w:sz w:val="16"/>
                <w:szCs w:val="16"/>
              </w:rPr>
              <w:br/>
              <w:t>favorire un soggetto esterno a scapito delle professionalità interne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R.029</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Incoerenza obiettivi della Federazione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Incoerenza del sistema di pianificazione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Incoerenza obiettivi della Federazione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Incoerenza scelte economiche da parte società</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trHeight w:val="157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Individuazione di requisiti che favoriscano o agevolino la partecipazione di  determinati concorrenti ovvero di requisiti che impediscano la partecipazione di concorrenti limitando la concorrenza ed il confronto.  Mancata o insufficiente verifica della coerenza della documentazione presentata. Abuso dei casi di esclusione delle ditte per ridurre il numero dei concorrenti e favorirne alcune.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R.032</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inserimento dati anagrafici  e bancari errati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R.033</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Inserimento nel bando/richiesta di criteri/clausole deputate a favorire alcuni soggetti - inserimento di requisiti/criteri/clausole deputati a favorire alcuni soggetti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Individuazione  di un livello economico da attribuire che possa favorire un particolare soggetto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R.035</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Integrazione/sostituzione della documentazione successivamente alla consegna - consentire integrazioni successive al termine di presentazione delle domande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Intese collusive tra i concorrenti/attori  -  svolgimento elaborato con  supporti cartacei/telematici non consentiti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Intese collusive tra i concorrenti/attori  -  individuazione concordata di un particolare candidato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Intese collusive tra i concorrenti/attori  -  svolgimento elaborato con  supporti cartacei/telematici non consentiti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Irregolare attribuzione dell'incarico; individuazione di requisiti "personalizzati"</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R.038</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irregolarità adempimenti ex L.136/2010</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R.039</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Mancata o insufficiente verifica della completezza/coerenza della documentazione presentata</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Mancata trasparenza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mancata/ errata riconciliazione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Mancato aggiornamento valori stato patrimoniale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Mancato controllo documentale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mancato/ incompleto controllo dei giustificativi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mancato rispetto dei termini fiscali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R.045</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Mancato rispetto dell'anonimato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Motivazione incongrua del provvedimento</w:t>
            </w:r>
            <w:r>
              <w:rPr>
                <w:rFonts w:ascii="Arial" w:hAnsi="Arial" w:cs="Arial"/>
                <w:color w:val="333399"/>
                <w:sz w:val="16"/>
                <w:szCs w:val="16"/>
              </w:rPr>
              <w:br/>
              <w:t xml:space="preserve">assenza di effettive esigenze </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Nascondere inefficienze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1358"/>
        </w:trPr>
        <w:tc>
          <w:tcPr>
            <w:tcW w:w="881" w:type="dxa"/>
            <w:tcBorders>
              <w:top w:val="nil"/>
              <w:left w:val="single" w:sz="4" w:space="0" w:color="auto"/>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R.048</w:t>
            </w:r>
          </w:p>
        </w:tc>
        <w:tc>
          <w:tcPr>
            <w:tcW w:w="4347" w:type="dxa"/>
            <w:tcBorders>
              <w:top w:val="nil"/>
              <w:left w:val="single" w:sz="4" w:space="0" w:color="auto"/>
              <w:bottom w:val="single" w:sz="4" w:space="0" w:color="000000"/>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Nel caso di forniture connesse, individuazione specifica di beni o servizi che favorisca l'aggiudicazione a favore di un determinato concorrente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R.049</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Nomina pilotata dei componenti della commissione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Nomina pilotata dei componenti della Commissione di valutazione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Non attendibilità budget</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Non attendibilità del bilancio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Non imparzialità nella nomina dei componenti </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Non integrità dei dati </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Occultamento/distruzione</w:t>
            </w:r>
          </w:p>
        </w:tc>
        <w:tc>
          <w:tcPr>
            <w:tcW w:w="2442" w:type="dxa"/>
            <w:tcBorders>
              <w:top w:val="nil"/>
              <w:left w:val="nil"/>
              <w:bottom w:val="single" w:sz="4" w:space="0" w:color="auto"/>
              <w:right w:val="single" w:sz="4" w:space="0" w:color="auto"/>
            </w:tcBorders>
            <w:shd w:val="clear" w:color="auto" w:fill="FF00FF"/>
            <w:vAlign w:val="center"/>
          </w:tcPr>
          <w:p w:rsidR="00D21C98" w:rsidRDefault="00D21C98" w:rsidP="000C5183">
            <w:pPr>
              <w:jc w:val="center"/>
              <w:rPr>
                <w:rFonts w:ascii="Arial" w:hAnsi="Arial" w:cs="Arial"/>
                <w:b/>
                <w:bCs/>
                <w:sz w:val="16"/>
                <w:szCs w:val="16"/>
              </w:rPr>
            </w:pPr>
            <w:r>
              <w:rPr>
                <w:rFonts w:ascii="Arial" w:hAnsi="Arial" w:cs="Arial"/>
                <w:b/>
                <w:bCs/>
                <w:sz w:val="16"/>
                <w:szCs w:val="16"/>
              </w:rPr>
              <w:t>Gestione casella di posta istituzione e certificata</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Occultamento/distruzione di informazioni o di documentazione - Occultamento, Sottrazione, Inserimento postumo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Omessa segnalazione </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33CCCC"/>
                <w:sz w:val="16"/>
                <w:szCs w:val="16"/>
              </w:rPr>
            </w:pPr>
            <w:r>
              <w:rPr>
                <w:rFonts w:ascii="Arial" w:hAnsi="Arial" w:cs="Arial"/>
                <w:b/>
                <w:bCs/>
                <w:color w:val="33CCCC"/>
                <w:sz w:val="16"/>
                <w:szCs w:val="16"/>
              </w:rPr>
              <w:t>Trasparenza Qualità e Comunicazione</w:t>
            </w: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R.055</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omissione OdV per prestazioni rese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debito non scaduti o mancato rispetto anzianità debiti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eseguito senza previa verifica per importi &gt;10.000 euro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R.058</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per materiali non tecnicamente conformi al contratto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Tahoma" w:hAnsi="Tahoma" w:cs="Tahoma"/>
                <w:color w:val="333399"/>
                <w:sz w:val="16"/>
                <w:szCs w:val="16"/>
              </w:rPr>
            </w:pPr>
            <w:r>
              <w:rPr>
                <w:rFonts w:ascii="Tahoma" w:hAnsi="Tahoma" w:cs="Tahoma"/>
                <w:color w:val="333399"/>
                <w:sz w:val="16"/>
                <w:szCs w:val="16"/>
              </w:rPr>
              <w:t>Pagamento non giustificato</w:t>
            </w:r>
            <w:r>
              <w:rPr>
                <w:rFonts w:ascii="Tahoma" w:hAnsi="Tahoma" w:cs="Tahoma"/>
                <w:color w:val="333399"/>
                <w:sz w:val="16"/>
                <w:szCs w:val="16"/>
              </w:rPr>
              <w:br/>
              <w:t>pagamento in assenza della puntuale esecuzione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non giustificato</w:t>
            </w:r>
            <w:r>
              <w:rPr>
                <w:rFonts w:ascii="Arial" w:hAnsi="Arial" w:cs="Arial"/>
                <w:color w:val="333399"/>
                <w:sz w:val="16"/>
                <w:szCs w:val="16"/>
              </w:rPr>
              <w:br/>
              <w:t xml:space="preserve"> importi corrisposti per rimborsi non giustificati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non giustificato</w:t>
            </w:r>
            <w:r>
              <w:rPr>
                <w:rFonts w:ascii="Arial" w:hAnsi="Arial" w:cs="Arial"/>
                <w:color w:val="333399"/>
                <w:sz w:val="16"/>
                <w:szCs w:val="16"/>
              </w:rPr>
              <w:br/>
              <w:t>erogazione compensi incoerenti con le previsioni contrattuali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R.059</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Pagamento nonostante DURC irregolare con difformità di trattamento tra creditori</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trHeight w:val="90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Pilotamento della procedura di gara. Individuazione di specifiche di beni e /o servizi che favoriscano o agevolino l’aggiudicazione  a favore di un determinato concorrente. Definizione insufficiente e/o generica dell’oggetto per consentire al/ai candidato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R.061</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Possibile indebita assegnazione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FF9900"/>
                <w:sz w:val="16"/>
                <w:szCs w:val="16"/>
              </w:rPr>
            </w:pPr>
            <w:r>
              <w:rPr>
                <w:rFonts w:ascii="Arial" w:hAnsi="Arial" w:cs="Arial"/>
                <w:b/>
                <w:bCs/>
                <w:color w:val="FF9900"/>
                <w:sz w:val="16"/>
                <w:szCs w:val="16"/>
              </w:rPr>
              <w:t>Affari Generali</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cantSplit/>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Possibilità di mancato ricorso al MEPA pur sussistendone i requisiti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FF990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prescrizione crediti clienti</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R.064</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Priorità delle esigenze personali rispetto alle necessità funzionali dell'ufficio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R.065</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Pubblicità del bando in periodi in cui l'accesso e l'attenzione verso tali informazioni è ridotto - pubblicità del bando in periodi in cui l'accesso e l'attenzione verso tali informazioni sono ridotti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pubblicità del bando in periodi in cui l'accesso e l'attenzione verso tali informazioni sono ridotti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trHeight w:val="11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Ricorso a procedura di affidamento o inserimento nel bando di clausole deputate a favorire o agevolare alcune imprese. Discrasia tra le informazioni ed i documenti che compongono il bando  e la documentazione di gara. Redazione dei documenti con un lingua</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R.067</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 xml:space="preserve">Rinvio fraudolento </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trHeight w:val="225"/>
        </w:trPr>
        <w:tc>
          <w:tcPr>
            <w:tcW w:w="881" w:type="dxa"/>
            <w:tcBorders>
              <w:top w:val="nil"/>
              <w:left w:val="single" w:sz="4" w:space="0" w:color="auto"/>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R.068</w:t>
            </w: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discrezionale nel rilascio</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00FF"/>
                <w:sz w:val="16"/>
                <w:szCs w:val="16"/>
              </w:rPr>
            </w:pPr>
            <w:r>
              <w:rPr>
                <w:rFonts w:ascii="Arial" w:hAnsi="Arial" w:cs="Arial"/>
                <w:b/>
                <w:bCs/>
                <w:color w:val="0000FF"/>
                <w:sz w:val="16"/>
                <w:szCs w:val="16"/>
              </w:rPr>
              <w:t>Servizio al pubblico</w:t>
            </w: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R.069</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emissione fatture rispetto a scadenze fiscali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R.070</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invio solleciti pagamento</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nei versamenti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nella rilevazione degli insoluti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R.073</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mancata attivazione delle escussione crediti garantiti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ritardo/ omissione nell'emissione dei documenti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993300"/>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R.075</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Scelta discrezionale del partner commerciale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cantSplit/>
          <w:trHeight w:val="90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Selezione mirata di fornitori/esecutori che favorisca o agevoli l’aggiudicazione  a favore di un determinato concorrente. Ricorso al frazionamento per elusione della normativa sugli obblighi sovranazionali. Distorsione della concorrenza</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22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R.077</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Sottrazione di beni</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22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R.078</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Sperequazione tra Delegazioni</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trHeight w:val="450"/>
        </w:trPr>
        <w:tc>
          <w:tcPr>
            <w:tcW w:w="881" w:type="dxa"/>
            <w:tcBorders>
              <w:top w:val="nil"/>
              <w:left w:val="single" w:sz="4" w:space="0" w:color="auto"/>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R.079</w:t>
            </w:r>
          </w:p>
        </w:tc>
        <w:tc>
          <w:tcPr>
            <w:tcW w:w="4347" w:type="dxa"/>
            <w:tcBorders>
              <w:top w:val="nil"/>
              <w:left w:val="nil"/>
              <w:bottom w:val="single" w:sz="4" w:space="0" w:color="auto"/>
              <w:right w:val="single" w:sz="4" w:space="0" w:color="auto"/>
            </w:tcBorders>
            <w:shd w:val="clear" w:color="auto" w:fill="FFFFFF"/>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squadratura tra consistenza di cassa e saldo contabile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Amministrazione e contabilità</w:t>
            </w:r>
          </w:p>
        </w:tc>
      </w:tr>
      <w:tr w:rsidR="00D21C98" w:rsidTr="000C5183">
        <w:trPr>
          <w:cantSplit/>
          <w:trHeight w:val="675"/>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R.080</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Sussistenza di rapporti di parentela o affinità tra  i soggetti con potere decisionale o compiti di valutazione e i soggetti concorrenti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675"/>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90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R.081</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Utilizzo distorto dei rimedi per allungare i tempi di esecuzione del contratto a favore dello stesso aggiudicatario. Ricorso pilotato per favorire la nomina di determinati arbitri. Abuso dei rimedi per rinegoziare le originarie condizioni di contratto</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r w:rsidR="00D21C98" w:rsidTr="000C5183">
        <w:trPr>
          <w:cantSplit/>
          <w:trHeight w:val="11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lastRenderedPageBreak/>
              <w:t>R.082</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Utilizzo distorto del potere di autotutela spettante all’amministrazione dopo l’indizione della gara, quando già si conoscono i partecipanti al fine di bloccare una gara il cui risultato sia o possa rivelarsi diverso da quello atteso.Elusione delle regole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666699"/>
                <w:sz w:val="16"/>
                <w:szCs w:val="16"/>
              </w:rPr>
            </w:pPr>
          </w:p>
        </w:tc>
      </w:tr>
      <w:tr w:rsidR="00D21C98" w:rsidTr="000C5183">
        <w:trPr>
          <w:cantSplit/>
          <w:trHeight w:val="450"/>
        </w:trPr>
        <w:tc>
          <w:tcPr>
            <w:tcW w:w="881"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R.083</w:t>
            </w:r>
          </w:p>
        </w:tc>
        <w:tc>
          <w:tcPr>
            <w:tcW w:w="4347" w:type="dxa"/>
            <w:vMerge w:val="restart"/>
            <w:tcBorders>
              <w:top w:val="nil"/>
              <w:left w:val="single" w:sz="4" w:space="0" w:color="auto"/>
              <w:bottom w:val="single" w:sz="4" w:space="0" w:color="000000"/>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valutazioni della Commissione volte a favorire soggetti predeterminati</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450"/>
        </w:trPr>
        <w:tc>
          <w:tcPr>
            <w:tcW w:w="881"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333399"/>
                <w:sz w:val="16"/>
                <w:szCs w:val="16"/>
              </w:rPr>
            </w:pPr>
          </w:p>
        </w:tc>
        <w:tc>
          <w:tcPr>
            <w:tcW w:w="4347" w:type="dxa"/>
            <w:vMerge/>
            <w:tcBorders>
              <w:top w:val="nil"/>
              <w:left w:val="single" w:sz="4" w:space="0" w:color="auto"/>
              <w:bottom w:val="single" w:sz="4" w:space="0" w:color="000000"/>
              <w:right w:val="single" w:sz="4" w:space="0" w:color="auto"/>
            </w:tcBorders>
            <w:vAlign w:val="center"/>
          </w:tcPr>
          <w:p w:rsidR="00D21C98" w:rsidRDefault="00D21C98" w:rsidP="000C5183">
            <w:pPr>
              <w:rPr>
                <w:rFonts w:ascii="Arial" w:hAnsi="Arial" w:cs="Arial"/>
                <w:color w:val="333399"/>
                <w:sz w:val="16"/>
                <w:szCs w:val="16"/>
              </w:rPr>
            </w:pP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800080"/>
                <w:sz w:val="16"/>
                <w:szCs w:val="16"/>
              </w:rPr>
            </w:pP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R.084</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Vantaggio ingiustificato per l'agente</w:t>
            </w:r>
          </w:p>
        </w:tc>
        <w:tc>
          <w:tcPr>
            <w:tcW w:w="2442" w:type="dxa"/>
            <w:vMerge w:val="restart"/>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008000"/>
                <w:sz w:val="16"/>
                <w:szCs w:val="16"/>
              </w:rPr>
            </w:pPr>
            <w:r>
              <w:rPr>
                <w:rFonts w:ascii="Arial" w:hAnsi="Arial" w:cs="Arial"/>
                <w:b/>
                <w:bCs/>
                <w:color w:val="008000"/>
                <w:sz w:val="16"/>
                <w:szCs w:val="16"/>
              </w:rPr>
              <w:t>Organi, Pianificazione e Coordinamento Strategico</w:t>
            </w:r>
          </w:p>
        </w:tc>
      </w:tr>
      <w:tr w:rsidR="00D21C98" w:rsidTr="000C5183">
        <w:trPr>
          <w:cantSplit/>
          <w:trHeight w:val="2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R.085</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Vedi mappatura "Affidamento Lavoro, Servizi e Forniture"</w:t>
            </w:r>
          </w:p>
        </w:tc>
        <w:tc>
          <w:tcPr>
            <w:tcW w:w="2442" w:type="dxa"/>
            <w:vMerge/>
            <w:tcBorders>
              <w:top w:val="nil"/>
              <w:left w:val="single" w:sz="4" w:space="0" w:color="auto"/>
              <w:bottom w:val="single" w:sz="4" w:space="0" w:color="auto"/>
              <w:right w:val="single" w:sz="4" w:space="0" w:color="auto"/>
            </w:tcBorders>
            <w:vAlign w:val="center"/>
          </w:tcPr>
          <w:p w:rsidR="00D21C98" w:rsidRDefault="00D21C98" w:rsidP="000C5183">
            <w:pPr>
              <w:rPr>
                <w:rFonts w:ascii="Arial" w:hAnsi="Arial" w:cs="Arial"/>
                <w:b/>
                <w:bCs/>
                <w:color w:val="008000"/>
                <w:sz w:val="16"/>
                <w:szCs w:val="16"/>
              </w:rPr>
            </w:pPr>
          </w:p>
        </w:tc>
      </w:tr>
      <w:tr w:rsidR="00D21C98" w:rsidTr="000C5183">
        <w:trPr>
          <w:trHeight w:val="450"/>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R.086</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Vedi mappatura "Procedure negoziate"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800080"/>
                <w:sz w:val="16"/>
                <w:szCs w:val="16"/>
              </w:rPr>
            </w:pPr>
            <w:r>
              <w:rPr>
                <w:rFonts w:ascii="Arial" w:hAnsi="Arial" w:cs="Arial"/>
                <w:b/>
                <w:bCs/>
                <w:color w:val="800080"/>
                <w:sz w:val="16"/>
                <w:szCs w:val="16"/>
              </w:rPr>
              <w:t>Amministrazione del personale</w:t>
            </w:r>
          </w:p>
        </w:tc>
      </w:tr>
      <w:tr w:rsidR="00D21C98" w:rsidTr="000C5183">
        <w:trPr>
          <w:trHeight w:val="1125"/>
        </w:trPr>
        <w:tc>
          <w:tcPr>
            <w:tcW w:w="881" w:type="dxa"/>
            <w:tcBorders>
              <w:top w:val="nil"/>
              <w:left w:val="single" w:sz="4" w:space="0" w:color="auto"/>
              <w:bottom w:val="single" w:sz="4" w:space="0" w:color="auto"/>
              <w:right w:val="single" w:sz="4" w:space="0" w:color="auto"/>
            </w:tcBorders>
            <w:vAlign w:val="center"/>
          </w:tcPr>
          <w:p w:rsidR="00D21C98" w:rsidRDefault="00D21C98" w:rsidP="000C5183">
            <w:pPr>
              <w:jc w:val="center"/>
              <w:rPr>
                <w:rFonts w:ascii="Arial" w:hAnsi="Arial" w:cs="Arial"/>
                <w:b/>
                <w:bCs/>
                <w:color w:val="333399"/>
                <w:sz w:val="16"/>
                <w:szCs w:val="16"/>
              </w:rPr>
            </w:pPr>
            <w:r>
              <w:rPr>
                <w:rFonts w:ascii="Arial" w:hAnsi="Arial" w:cs="Arial"/>
                <w:b/>
                <w:bCs/>
                <w:color w:val="333399"/>
                <w:sz w:val="16"/>
                <w:szCs w:val="16"/>
              </w:rPr>
              <w:t>R.087</w:t>
            </w:r>
          </w:p>
        </w:tc>
        <w:tc>
          <w:tcPr>
            <w:tcW w:w="4347"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color w:val="333399"/>
                <w:sz w:val="16"/>
                <w:szCs w:val="16"/>
              </w:rPr>
            </w:pPr>
            <w:r>
              <w:rPr>
                <w:rFonts w:ascii="Arial" w:hAnsi="Arial" w:cs="Arial"/>
                <w:color w:val="333399"/>
                <w:sz w:val="16"/>
                <w:szCs w:val="16"/>
              </w:rPr>
              <w:t>Artificioso ricorso alle varianti per modificare le condizioni del contratto dopo l’aggiudicazione.Collusione tra la stazione appaltante e l’appaltatore.Utilizzo distorto dell’istituto delle varianti a svantaggio della concorrenza.Predisposizione di clausole</w:t>
            </w:r>
          </w:p>
        </w:tc>
        <w:tc>
          <w:tcPr>
            <w:tcW w:w="2442" w:type="dxa"/>
            <w:tcBorders>
              <w:top w:val="nil"/>
              <w:left w:val="nil"/>
              <w:bottom w:val="single" w:sz="4" w:space="0" w:color="auto"/>
              <w:right w:val="single" w:sz="4" w:space="0" w:color="auto"/>
            </w:tcBorders>
            <w:vAlign w:val="center"/>
          </w:tcPr>
          <w:p w:rsidR="00D21C98" w:rsidRDefault="00D21C98" w:rsidP="000C5183">
            <w:pPr>
              <w:jc w:val="center"/>
              <w:rPr>
                <w:rFonts w:ascii="Arial" w:hAnsi="Arial" w:cs="Arial"/>
                <w:b/>
                <w:bCs/>
                <w:color w:val="666699"/>
                <w:sz w:val="16"/>
                <w:szCs w:val="16"/>
              </w:rPr>
            </w:pPr>
            <w:r>
              <w:rPr>
                <w:rFonts w:ascii="Arial" w:hAnsi="Arial" w:cs="Arial"/>
                <w:b/>
                <w:bCs/>
                <w:color w:val="666699"/>
                <w:sz w:val="16"/>
                <w:szCs w:val="16"/>
              </w:rPr>
              <w:t>Attività contrattuale e patrimonio</w:t>
            </w:r>
          </w:p>
        </w:tc>
      </w:tr>
    </w:tbl>
    <w:p w:rsidR="00E22A02" w:rsidRDefault="00E22A02"/>
    <w:sectPr w:rsidR="00E22A0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E6" w:rsidRDefault="00E25CE6" w:rsidP="00D21C98">
      <w:r>
        <w:separator/>
      </w:r>
    </w:p>
  </w:endnote>
  <w:endnote w:type="continuationSeparator" w:id="0">
    <w:p w:rsidR="00E25CE6" w:rsidRDefault="00E25CE6" w:rsidP="00D2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14" w:rsidRDefault="00DD5C1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14" w:rsidRDefault="00DD5C1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14" w:rsidRDefault="00DD5C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E6" w:rsidRDefault="00E25CE6" w:rsidP="00D21C98">
      <w:r>
        <w:separator/>
      </w:r>
    </w:p>
  </w:footnote>
  <w:footnote w:type="continuationSeparator" w:id="0">
    <w:p w:rsidR="00E25CE6" w:rsidRDefault="00E25CE6" w:rsidP="00D21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14" w:rsidRDefault="00DD5C1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56" w:type="dxa"/>
      <w:tblInd w:w="70" w:type="dxa"/>
      <w:tblCellMar>
        <w:left w:w="70" w:type="dxa"/>
        <w:right w:w="70" w:type="dxa"/>
      </w:tblCellMar>
      <w:tblLook w:val="0000" w:firstRow="0" w:lastRow="0" w:firstColumn="0" w:lastColumn="0" w:noHBand="0" w:noVBand="0"/>
    </w:tblPr>
    <w:tblGrid>
      <w:gridCol w:w="9656"/>
    </w:tblGrid>
    <w:tr w:rsidR="00D21C98" w:rsidTr="000C5183">
      <w:trPr>
        <w:trHeight w:val="465"/>
      </w:trPr>
      <w:tc>
        <w:tcPr>
          <w:tcW w:w="9656" w:type="dxa"/>
          <w:tcBorders>
            <w:top w:val="nil"/>
            <w:left w:val="nil"/>
            <w:bottom w:val="nil"/>
            <w:right w:val="nil"/>
          </w:tcBorders>
          <w:noWrap/>
          <w:vAlign w:val="center"/>
        </w:tcPr>
        <w:p w:rsidR="00D21C98" w:rsidRDefault="00D21C98" w:rsidP="00DD5C14">
          <w:pPr>
            <w:jc w:val="center"/>
            <w:rPr>
              <w:rFonts w:ascii="Arial" w:hAnsi="Arial" w:cs="Arial"/>
              <w:b/>
              <w:bCs/>
              <w:color w:val="993300"/>
              <w:sz w:val="16"/>
              <w:szCs w:val="16"/>
            </w:rPr>
          </w:pPr>
          <w:r>
            <w:rPr>
              <w:rFonts w:ascii="Arial" w:hAnsi="Arial" w:cs="Arial"/>
              <w:b/>
              <w:bCs/>
              <w:color w:val="993300"/>
              <w:sz w:val="16"/>
              <w:szCs w:val="16"/>
            </w:rPr>
            <w:t xml:space="preserve">AUTOMOBILE CLUB DI </w:t>
          </w:r>
          <w:r w:rsidR="00DD5C14">
            <w:rPr>
              <w:rFonts w:ascii="Arial" w:hAnsi="Arial" w:cs="Arial"/>
              <w:b/>
              <w:bCs/>
              <w:color w:val="993300"/>
              <w:sz w:val="16"/>
              <w:szCs w:val="16"/>
            </w:rPr>
            <w:t>ACIREALE</w:t>
          </w:r>
        </w:p>
      </w:tc>
    </w:tr>
    <w:tr w:rsidR="00D21C98" w:rsidTr="000C5183">
      <w:trPr>
        <w:trHeight w:val="543"/>
      </w:trPr>
      <w:tc>
        <w:tcPr>
          <w:tcW w:w="9656" w:type="dxa"/>
          <w:tcBorders>
            <w:top w:val="nil"/>
            <w:left w:val="nil"/>
            <w:bottom w:val="single" w:sz="4" w:space="0" w:color="auto"/>
            <w:right w:val="nil"/>
          </w:tcBorders>
          <w:noWrap/>
          <w:vAlign w:val="center"/>
        </w:tcPr>
        <w:p w:rsidR="00D21C98" w:rsidRDefault="00D21C98" w:rsidP="000C5183">
          <w:pPr>
            <w:jc w:val="center"/>
            <w:rPr>
              <w:rFonts w:ascii="Arial" w:hAnsi="Arial" w:cs="Arial"/>
              <w:b/>
              <w:bCs/>
              <w:color w:val="993300"/>
              <w:sz w:val="16"/>
              <w:szCs w:val="16"/>
            </w:rPr>
          </w:pPr>
          <w:r>
            <w:rPr>
              <w:rFonts w:ascii="Arial" w:hAnsi="Arial" w:cs="Arial"/>
              <w:b/>
              <w:bCs/>
              <w:color w:val="993300"/>
              <w:sz w:val="16"/>
              <w:szCs w:val="16"/>
            </w:rPr>
            <w:t>CATALOGO EVENTUALI RISCHI</w:t>
          </w:r>
        </w:p>
      </w:tc>
    </w:tr>
  </w:tbl>
  <w:p w:rsidR="00D21C98" w:rsidRDefault="00D21C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14" w:rsidRDefault="00DD5C1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98"/>
    <w:rsid w:val="000D3836"/>
    <w:rsid w:val="004D7F01"/>
    <w:rsid w:val="00612021"/>
    <w:rsid w:val="00642066"/>
    <w:rsid w:val="0075390E"/>
    <w:rsid w:val="00761E8A"/>
    <w:rsid w:val="00854EB8"/>
    <w:rsid w:val="009E7993"/>
    <w:rsid w:val="00D21C98"/>
    <w:rsid w:val="00DD5C14"/>
    <w:rsid w:val="00E22A02"/>
    <w:rsid w:val="00E25CE6"/>
    <w:rsid w:val="00E43890"/>
    <w:rsid w:val="00F15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41889-3346-4002-BC17-E47E43B7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1C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1C98"/>
    <w:pPr>
      <w:tabs>
        <w:tab w:val="center" w:pos="4819"/>
        <w:tab w:val="right" w:pos="9638"/>
      </w:tabs>
    </w:pPr>
  </w:style>
  <w:style w:type="character" w:customStyle="1" w:styleId="IntestazioneCarattere">
    <w:name w:val="Intestazione Carattere"/>
    <w:basedOn w:val="Carpredefinitoparagrafo"/>
    <w:link w:val="Intestazione"/>
    <w:uiPriority w:val="99"/>
    <w:rsid w:val="00D21C9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1C98"/>
    <w:pPr>
      <w:tabs>
        <w:tab w:val="center" w:pos="4819"/>
        <w:tab w:val="right" w:pos="9638"/>
      </w:tabs>
    </w:pPr>
  </w:style>
  <w:style w:type="character" w:customStyle="1" w:styleId="PidipaginaCarattere">
    <w:name w:val="Piè di pagina Carattere"/>
    <w:basedOn w:val="Carpredefinitoparagrafo"/>
    <w:link w:val="Pidipagina"/>
    <w:uiPriority w:val="99"/>
    <w:rsid w:val="00D21C9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11955</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2</cp:revision>
  <dcterms:created xsi:type="dcterms:W3CDTF">2021-04-09T11:34:00Z</dcterms:created>
  <dcterms:modified xsi:type="dcterms:W3CDTF">2021-04-09T11:34:00Z</dcterms:modified>
</cp:coreProperties>
</file>